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86" w:rsidRPr="00036A80" w:rsidRDefault="00036A80" w:rsidP="00726E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036A80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Výhody vzdelávania v skupine</w:t>
      </w:r>
    </w:p>
    <w:p w:rsidR="007128AB" w:rsidRDefault="007128AB" w:rsidP="00726E3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sk-SK"/>
        </w:rPr>
      </w:pPr>
    </w:p>
    <w:p w:rsidR="00957F29" w:rsidRDefault="00957F29" w:rsidP="00981363">
      <w:pPr>
        <w:pStyle w:val="Normlnywebov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 w:rsidRPr="00957F29">
        <w:rPr>
          <w:rFonts w:ascii="Arial" w:eastAsiaTheme="minorHAnsi" w:hAnsi="Arial" w:cs="Arial"/>
          <w:color w:val="545454"/>
          <w:sz w:val="32"/>
          <w:szCs w:val="32"/>
          <w:shd w:val="clear" w:color="auto" w:fill="FFFFFF"/>
          <w:lang w:eastAsia="en-US"/>
        </w:rPr>
        <w:t>V</w:t>
      </w:r>
      <w:r w:rsidRPr="00E8033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 </w:t>
      </w:r>
      <w:hyperlink r:id="rId7" w:history="1">
        <w:r w:rsidRPr="00D93A30">
          <w:rPr>
            <w:rStyle w:val="Hypertextovprepojenie"/>
            <w:rFonts w:ascii="Arial" w:eastAsiaTheme="minorHAnsi" w:hAnsi="Arial" w:cs="Arial"/>
            <w:sz w:val="22"/>
            <w:szCs w:val="22"/>
            <w:shd w:val="clear" w:color="auto" w:fill="FFFFFF"/>
            <w:lang w:eastAsia="en-US"/>
          </w:rPr>
          <w:t>Asociácii lektorov a kariérnych poradcov</w:t>
        </w:r>
      </w:hyperlink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</w:t>
      </w:r>
      <w:r w:rsidR="00055F78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v zmysle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citátu, ktorý je síce z obdobia pred naším letopočtom </w:t>
      </w:r>
      <w:r w:rsidRPr="0021127B">
        <w:rPr>
          <w:rFonts w:ascii="Arial" w:eastAsiaTheme="minorHAnsi" w:hAnsi="Arial" w:cs="Arial"/>
          <w:i/>
          <w:color w:val="545454"/>
          <w:sz w:val="22"/>
          <w:szCs w:val="22"/>
          <w:shd w:val="clear" w:color="auto" w:fill="FFFFFF"/>
          <w:lang w:eastAsia="en-US"/>
        </w:rPr>
        <w:t>„Skúsenosť bez vedenia je viac ako vzdelanie bez skúsenosti.“</w:t>
      </w:r>
      <w:r w:rsidRPr="00E8033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– </w:t>
      </w:r>
      <w:proofErr w:type="spellStart"/>
      <w:r w:rsidRPr="00E8033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Quintus</w:t>
      </w:r>
      <w:proofErr w:type="spellEnd"/>
      <w:r w:rsidRPr="00E8033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8033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Ennius</w:t>
      </w:r>
      <w:proofErr w:type="spellEnd"/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</w:t>
      </w:r>
      <w:r w:rsidRPr="003B431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(</w:t>
      </w:r>
      <w:proofErr w:type="spellStart"/>
      <w:r w:rsidRPr="003B431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nar</w:t>
      </w:r>
      <w:proofErr w:type="spellEnd"/>
      <w:r w:rsidRPr="003B431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. 239 pred </w:t>
      </w:r>
      <w:proofErr w:type="spellStart"/>
      <w:r w:rsidRPr="003B431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n.l</w:t>
      </w:r>
      <w:proofErr w:type="spellEnd"/>
      <w:r w:rsidRPr="003B431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.)</w:t>
      </w:r>
      <w:r w:rsidR="00055F78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, ale platí aj v súčasnosti,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realizujeme </w:t>
      </w:r>
      <w:r w:rsidRPr="00402302">
        <w:rPr>
          <w:rFonts w:ascii="Arial" w:eastAsiaTheme="minorHAnsi" w:hAnsi="Arial" w:cs="Arial"/>
          <w:b/>
          <w:color w:val="00B050"/>
          <w:sz w:val="22"/>
          <w:szCs w:val="22"/>
          <w:shd w:val="clear" w:color="auto" w:fill="FFFFFF"/>
          <w:lang w:eastAsia="en-US"/>
        </w:rPr>
        <w:t>SKÚSENOSTNÉ VZDELÁVANIE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. V odbornej terminológii môžeme povedať, že počas </w:t>
      </w:r>
      <w:r w:rsidRPr="00E8033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v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zdelávania </w:t>
      </w:r>
      <w:r w:rsidRPr="00F751C6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 xml:space="preserve">používame </w:t>
      </w:r>
      <w:proofErr w:type="spellStart"/>
      <w:r w:rsidRPr="00F751C6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aktivizačné</w:t>
      </w:r>
      <w:proofErr w:type="spellEnd"/>
      <w:r w:rsidRPr="00F751C6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 xml:space="preserve"> metódy a realizujeme interaktívne vzdelávanie.</w:t>
      </w:r>
    </w:p>
    <w:p w:rsidR="00957F29" w:rsidRDefault="00957F29" w:rsidP="00981363">
      <w:pPr>
        <w:pStyle w:val="Normlnywebov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Pri tomto druhu učenia sa, </w:t>
      </w:r>
      <w:r w:rsidRPr="0021127B">
        <w:rPr>
          <w:rFonts w:ascii="Arial" w:eastAsiaTheme="minorHAnsi" w:hAnsi="Arial" w:cs="Arial"/>
          <w:b/>
          <w:i/>
          <w:color w:val="545454"/>
          <w:sz w:val="22"/>
          <w:szCs w:val="22"/>
          <w:shd w:val="clear" w:color="auto" w:fill="FFFFFF"/>
          <w:lang w:eastAsia="en-US"/>
        </w:rPr>
        <w:t>účastníci vzdelávania sú aktívnymi realizátormi svojho vzdelávania</w:t>
      </w:r>
      <w:r w:rsidRPr="0021127B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,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motivovaní </w:t>
      </w:r>
      <w:r w:rsidRPr="00726E3C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cez vlastnú predchádzajúcu skúsenosť z pracovného alebo osobného života. </w:t>
      </w:r>
    </w:p>
    <w:p w:rsidR="00E80332" w:rsidRDefault="00D90884" w:rsidP="00981363">
      <w:pPr>
        <w:shd w:val="clear" w:color="auto" w:fill="FFFFFF"/>
        <w:spacing w:after="150"/>
        <w:jc w:val="both"/>
        <w:rPr>
          <w:rFonts w:ascii="Arial" w:hAnsi="Arial" w:cs="Arial"/>
          <w:color w:val="545454"/>
          <w:shd w:val="clear" w:color="auto" w:fill="FFFFFF"/>
        </w:rPr>
      </w:pPr>
      <w:r w:rsidRPr="005B6C80">
        <w:rPr>
          <w:rFonts w:ascii="Arial" w:hAnsi="Arial" w:cs="Arial"/>
          <w:color w:val="545454"/>
          <w:shd w:val="clear" w:color="auto" w:fill="FFFFFF"/>
        </w:rPr>
        <w:t>Na efektívnosť skupinového vyučovania  bolo zameraných viacero výskumov, ktoré jasne dokazujú, že pri vzdelávaní v skupine dochádza</w:t>
      </w:r>
      <w:r w:rsidR="00E80332">
        <w:rPr>
          <w:rFonts w:ascii="Arial" w:hAnsi="Arial" w:cs="Arial"/>
          <w:color w:val="545454"/>
          <w:shd w:val="clear" w:color="auto" w:fill="FFFFFF"/>
        </w:rPr>
        <w:t xml:space="preserve"> k:</w:t>
      </w:r>
    </w:p>
    <w:p w:rsidR="00E80332" w:rsidRDefault="00D90884" w:rsidP="00726E3C">
      <w:pPr>
        <w:pStyle w:val="Odsekzoznamu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80332">
        <w:rPr>
          <w:rFonts w:ascii="Arial" w:hAnsi="Arial" w:cs="Arial"/>
          <w:color w:val="545454"/>
          <w:shd w:val="clear" w:color="auto" w:fill="FFFFFF"/>
        </w:rPr>
        <w:t>efektívnejšiemu učeniu sa,</w:t>
      </w:r>
    </w:p>
    <w:p w:rsidR="00E80332" w:rsidRDefault="00D90884" w:rsidP="00726E3C">
      <w:pPr>
        <w:pStyle w:val="Odsekzoznamu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80332">
        <w:rPr>
          <w:rFonts w:ascii="Arial" w:hAnsi="Arial" w:cs="Arial"/>
          <w:color w:val="545454"/>
          <w:shd w:val="clear" w:color="auto" w:fill="FFFFFF"/>
        </w:rPr>
        <w:t>okamžitej spätnej väzbe</w:t>
      </w:r>
      <w:r w:rsidR="005B6C80" w:rsidRPr="00E80332">
        <w:rPr>
          <w:rFonts w:ascii="Arial" w:hAnsi="Arial" w:cs="Arial"/>
          <w:color w:val="545454"/>
          <w:shd w:val="clear" w:color="auto" w:fill="FFFFFF"/>
        </w:rPr>
        <w:t>,</w:t>
      </w:r>
    </w:p>
    <w:p w:rsidR="00E80332" w:rsidRDefault="00E80332" w:rsidP="00726E3C">
      <w:pPr>
        <w:pStyle w:val="Odsekzoznamu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zachovaniu</w:t>
      </w:r>
      <w:r w:rsidR="005B6C80" w:rsidRPr="00E80332">
        <w:rPr>
          <w:rFonts w:ascii="Arial" w:eastAsia="Calibri" w:hAnsi="Arial" w:cs="Arial"/>
          <w:color w:val="545454"/>
          <w:shd w:val="clear" w:color="auto" w:fill="FFFFFF"/>
        </w:rPr>
        <w:t xml:space="preserve"> ľudského konta</w:t>
      </w:r>
      <w:r w:rsidR="005B6C80" w:rsidRPr="00E80332">
        <w:rPr>
          <w:rFonts w:ascii="Arial" w:hAnsi="Arial" w:cs="Arial"/>
          <w:color w:val="545454"/>
          <w:shd w:val="clear" w:color="auto" w:fill="FFFFFF"/>
        </w:rPr>
        <w:t xml:space="preserve">ktu, </w:t>
      </w:r>
    </w:p>
    <w:p w:rsidR="003B4310" w:rsidRDefault="00E80332" w:rsidP="00726E3C">
      <w:pPr>
        <w:pStyle w:val="Odsekzoznamu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rozvoju</w:t>
      </w:r>
      <w:r w:rsidR="003B1006">
        <w:rPr>
          <w:rFonts w:ascii="Arial" w:hAnsi="Arial" w:cs="Arial"/>
          <w:color w:val="545454"/>
          <w:shd w:val="clear" w:color="auto" w:fill="FFFFFF"/>
        </w:rPr>
        <w:t xml:space="preserve"> komunikácie</w:t>
      </w:r>
      <w:r w:rsidR="005B6C80" w:rsidRPr="00E80332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najmä verbálnej</w:t>
      </w:r>
    </w:p>
    <w:p w:rsidR="00A562AB" w:rsidRPr="00E80332" w:rsidRDefault="003B4310" w:rsidP="00726E3C">
      <w:pPr>
        <w:pStyle w:val="Odsekzoznamu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podpore</w:t>
      </w:r>
      <w:r w:rsidR="005B6C80" w:rsidRPr="00E80332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sociálnych vzťahov</w:t>
      </w:r>
      <w:r w:rsidR="005B6C80" w:rsidRPr="00E80332">
        <w:rPr>
          <w:rFonts w:ascii="Arial" w:hAnsi="Arial" w:cs="Arial"/>
          <w:color w:val="545454"/>
          <w:shd w:val="clear" w:color="auto" w:fill="FFFFFF"/>
        </w:rPr>
        <w:t xml:space="preserve">. </w:t>
      </w:r>
    </w:p>
    <w:p w:rsidR="00957F29" w:rsidRDefault="00957F29" w:rsidP="00726E3C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</w:p>
    <w:p w:rsidR="003B1006" w:rsidRDefault="00F751C6" w:rsidP="00981363">
      <w:pPr>
        <w:pStyle w:val="Normlnywebov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Ď</w:t>
      </w:r>
      <w:r w:rsid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alšie dôkazy pre vzdelávanie v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 </w:t>
      </w:r>
      <w:r w:rsid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skupine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som našla v záverečnej práci </w:t>
      </w:r>
      <w:r w:rsidRPr="00F751C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PhDr. Miloša Bučka z roku 2007 na tému Aktivizujúce metódy - významný faktor zvyšovania efektívnosti vo vzdelávaní dospelých</w:t>
      </w:r>
      <w:r w:rsid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. </w:t>
      </w:r>
      <w:r w:rsidR="0040230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Výskumná vzorka 100</w:t>
      </w:r>
      <w:r w:rsid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respon</w:t>
      </w:r>
      <w:r w:rsidR="0040230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dentov – účastníci vzdelávania (19 a viac rokov) </w:t>
      </w:r>
      <w:r w:rsid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vybrali z 9 metód vzdelávania 4 najefektívnejšie</w:t>
      </w:r>
      <w:r w:rsidR="0040230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pre proces učenia sa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. </w:t>
      </w:r>
      <w:r w:rsidR="00957F29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Vybrané metódy je možné realizovať v iba skupine.</w:t>
      </w:r>
    </w:p>
    <w:p w:rsidR="003B1006" w:rsidRDefault="003B1006" w:rsidP="00957F29">
      <w:pPr>
        <w:pStyle w:val="Normlnywebov"/>
        <w:numPr>
          <w:ilvl w:val="0"/>
          <w:numId w:val="12"/>
        </w:numPr>
        <w:shd w:val="clear" w:color="auto" w:fill="FFFFFF"/>
        <w:spacing w:before="240" w:beforeAutospacing="0" w:after="240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 w:rsidRPr="003B1006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Diskusia</w:t>
      </w:r>
      <w:r w:rsidRP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„Môžem si povedať svoj názor a čo si o tom myslím.“ „Zistím čo si myslia druhí.“ „Keď sa ten druhý mýli, môžem mu povedať, že je to inak.“ „Vysvetlím si s kolegom čomu navzájom nerozumieme.“ </w:t>
      </w:r>
    </w:p>
    <w:p w:rsidR="003B1006" w:rsidRPr="003B1006" w:rsidRDefault="003B1006" w:rsidP="00957F29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 w:rsidRPr="00D93A30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Skupinová práca</w:t>
      </w:r>
      <w:r w:rsidRP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„Viac hláv, viac rozumu.“ „Je to dobré preto, lebo každého napadne niečo iné.“ „Keď pracujeme spolu, tak každý spraví to čo mu ide a čo vie.“ „Je to väčšia </w:t>
      </w:r>
      <w:proofErr w:type="spellStart"/>
      <w:r w:rsidRP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sranda</w:t>
      </w:r>
      <w:proofErr w:type="spellEnd"/>
      <w:r w:rsidRP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ako keď robí každý sám.“</w:t>
      </w:r>
    </w:p>
    <w:p w:rsidR="003B1006" w:rsidRPr="003B1006" w:rsidRDefault="003B1006" w:rsidP="00957F29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 w:rsidRPr="00D93A30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Hranie a nacvičovanie situácií</w:t>
      </w:r>
      <w:r w:rsidRPr="003B1006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„Dostanem sa do situácie, ktorú možno naozaj niekedy zažijem a aspoň budem vedieť ako v nej možno budem reagovať.“ „Je veľmi zaujímavé byť chvíľu v roli niekoho iného. Môžem ho tak lepšie pochopiť.“ „Učím sa tak komunikovať s inými.“</w:t>
      </w:r>
    </w:p>
    <w:p w:rsidR="00957F29" w:rsidRDefault="003B1006" w:rsidP="00957F29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 w:rsidRPr="00D93A30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Rozhovor a analýza konkrétneho prípadu (</w:t>
      </w:r>
      <w:proofErr w:type="spellStart"/>
      <w:r w:rsidRPr="00D93A30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kazuistiky</w:t>
      </w:r>
      <w:proofErr w:type="spellEnd"/>
      <w:r w:rsidRPr="00D93A30">
        <w:rPr>
          <w:rFonts w:ascii="Arial" w:eastAsiaTheme="minorHAnsi" w:hAnsi="Arial" w:cs="Arial"/>
          <w:b/>
          <w:color w:val="545454"/>
          <w:sz w:val="22"/>
          <w:szCs w:val="22"/>
          <w:shd w:val="clear" w:color="auto" w:fill="FFFFFF"/>
          <w:lang w:eastAsia="en-US"/>
        </w:rPr>
        <w:t>)</w:t>
      </w:r>
      <w:r w:rsidRPr="00D93A3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„Dozviem sa názor odborníka.“ „Môžeme sa porozprávať o skutočných prípadoch, ktoré sa skutočne stali.“</w:t>
      </w:r>
    </w:p>
    <w:p w:rsidR="00981363" w:rsidRDefault="00981363" w:rsidP="00981363">
      <w:pPr>
        <w:pStyle w:val="Normlnywebov"/>
        <w:shd w:val="clear" w:color="auto" w:fill="FFFFFF"/>
        <w:spacing w:before="0" w:beforeAutospacing="0" w:after="225" w:afterAutospacing="0"/>
        <w:ind w:left="72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</w:p>
    <w:p w:rsidR="00D93772" w:rsidRDefault="00957F29" w:rsidP="00981363">
      <w:pPr>
        <w:pStyle w:val="Normlnywebov"/>
        <w:shd w:val="clear" w:color="auto" w:fill="FFFFFF"/>
        <w:spacing w:before="0" w:beforeAutospacing="0" w:after="225" w:afterAutospacing="0" w:line="276" w:lineRule="auto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Naše skupinové kurzy vedú lektori s  odbornou lektorskou praxou  a </w:t>
      </w:r>
      <w:proofErr w:type="spellStart"/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f</w:t>
      </w:r>
      <w:r w:rsidR="00036A8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oto</w:t>
      </w:r>
      <w:r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u</w:t>
      </w:r>
      <w:r w:rsidR="00036A8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>kážka</w:t>
      </w:r>
      <w:proofErr w:type="spellEnd"/>
      <w:r w:rsidR="00036A8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z nášho vzdelávania môže byť dôvod </w:t>
      </w:r>
      <w:r w:rsidR="00D9377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prečo si </w:t>
      </w:r>
      <w:hyperlink r:id="rId8" w:history="1">
        <w:r w:rsidR="00D93772" w:rsidRPr="00036A80">
          <w:rPr>
            <w:rStyle w:val="Hypertextovprepojenie"/>
            <w:rFonts w:ascii="Arial" w:eastAsiaTheme="minorHAnsi" w:hAnsi="Arial" w:cs="Arial"/>
            <w:sz w:val="22"/>
            <w:szCs w:val="22"/>
            <w:shd w:val="clear" w:color="auto" w:fill="FFFFFF"/>
            <w:lang w:eastAsia="en-US"/>
          </w:rPr>
          <w:t>vybrať vzdelávanie</w:t>
        </w:r>
      </w:hyperlink>
      <w:r w:rsidR="00D9377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</w:t>
      </w:r>
      <w:r w:rsidR="00036A80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v</w:t>
      </w:r>
      <w:r w:rsidR="00D93772"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  <w:t xml:space="preserve"> ALKP.</w:t>
      </w:r>
    </w:p>
    <w:p w:rsidR="00D93772" w:rsidRDefault="00D93772" w:rsidP="00726E3C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noProof/>
          <w:color w:val="545454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1863306" cy="1902682"/>
            <wp:effectExtent l="19050" t="0" r="3594" b="0"/>
            <wp:docPr id="2" name="Obrázok 1" descr="tréning 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éning lek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7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noProof/>
          <w:color w:val="545454"/>
          <w:sz w:val="22"/>
          <w:szCs w:val="22"/>
          <w:shd w:val="clear" w:color="auto" w:fill="FFFFFF"/>
        </w:rPr>
        <w:drawing>
          <wp:inline distT="0" distB="0" distL="0" distR="0">
            <wp:extent cx="1905000" cy="1905000"/>
            <wp:effectExtent l="19050" t="0" r="0" b="0"/>
            <wp:docPr id="3" name="Obrázok 2" descr="školenie 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enie lekt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noProof/>
          <w:color w:val="545454"/>
          <w:sz w:val="22"/>
          <w:szCs w:val="22"/>
          <w:shd w:val="clear" w:color="auto" w:fill="FFFFFF"/>
        </w:rPr>
        <w:drawing>
          <wp:inline distT="0" distB="0" distL="0" distR="0">
            <wp:extent cx="1905000" cy="1905000"/>
            <wp:effectExtent l="19050" t="0" r="0" b="0"/>
            <wp:docPr id="4" name="Obrázok 3" descr="asociácia lekt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iácia lektoro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80" w:rsidRDefault="00036A80" w:rsidP="00726E3C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</w:p>
    <w:p w:rsidR="00036A80" w:rsidRDefault="00036A80" w:rsidP="00726E3C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noProof/>
          <w:color w:val="545454"/>
          <w:sz w:val="22"/>
          <w:szCs w:val="22"/>
          <w:shd w:val="clear" w:color="auto" w:fill="FFFFFF"/>
        </w:rPr>
        <w:drawing>
          <wp:inline distT="0" distB="0" distL="0" distR="0">
            <wp:extent cx="1866960" cy="1904641"/>
            <wp:effectExtent l="19050" t="0" r="0" b="0"/>
            <wp:docPr id="6" name="Obrázok 5" descr="asoc lektorv a kariér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 lektorv a kariérnyc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31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noProof/>
          <w:color w:val="545454"/>
          <w:sz w:val="22"/>
          <w:szCs w:val="22"/>
          <w:shd w:val="clear" w:color="auto" w:fill="FFFFFF"/>
        </w:rPr>
        <w:drawing>
          <wp:inline distT="0" distB="0" distL="0" distR="0">
            <wp:extent cx="1905000" cy="1905000"/>
            <wp:effectExtent l="19050" t="0" r="0" b="0"/>
            <wp:docPr id="7" name="Obrázok 6" descr="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to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noProof/>
          <w:color w:val="545454"/>
          <w:sz w:val="22"/>
          <w:szCs w:val="22"/>
          <w:shd w:val="clear" w:color="auto" w:fill="FFFFFF"/>
        </w:rPr>
        <w:drawing>
          <wp:inline distT="0" distB="0" distL="0" distR="0">
            <wp:extent cx="1905000" cy="1905000"/>
            <wp:effectExtent l="19050" t="0" r="0" b="0"/>
            <wp:docPr id="8" name="Obrázok 7" descr="certifikovaný 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kovaný lekto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80" w:rsidRDefault="00036A80" w:rsidP="00726E3C">
      <w:pPr>
        <w:pStyle w:val="Normlnywebov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  <w:color w:val="545454"/>
          <w:sz w:val="22"/>
          <w:szCs w:val="22"/>
          <w:shd w:val="clear" w:color="auto" w:fill="FFFFFF"/>
          <w:lang w:eastAsia="en-US"/>
        </w:rPr>
      </w:pPr>
    </w:p>
    <w:p w:rsidR="00593F34" w:rsidRPr="00593F34" w:rsidRDefault="00036A80" w:rsidP="00957F29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Arial" w:eastAsiaTheme="minorHAnsi" w:hAnsi="Arial" w:cs="Arial"/>
          <w:noProof/>
          <w:color w:val="545454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4939665</wp:posOffset>
            </wp:positionV>
            <wp:extent cx="4975225" cy="2898140"/>
            <wp:effectExtent l="19050" t="0" r="0" b="0"/>
            <wp:wrapSquare wrapText="bothSides"/>
            <wp:docPr id="9" name="Obrázok 8" descr="lek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tori.jpg"/>
                    <pic:cNvPicPr/>
                  </pic:nvPicPr>
                  <pic:blipFill>
                    <a:blip r:embed="rId15" cstate="print"/>
                    <a:srcRect t="5319" r="13627" b="5319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3F34" w:rsidRPr="00593F34" w:rsidSect="00D466BA">
      <w:headerReference w:type="default" r:id="rId16"/>
      <w:footerReference w:type="default" r:id="rId1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C0" w:rsidRDefault="002E5EC0" w:rsidP="00D466BA">
      <w:pPr>
        <w:spacing w:after="0" w:line="240" w:lineRule="auto"/>
      </w:pPr>
      <w:r>
        <w:separator/>
      </w:r>
    </w:p>
  </w:endnote>
  <w:endnote w:type="continuationSeparator" w:id="0">
    <w:p w:rsidR="002E5EC0" w:rsidRDefault="002E5EC0" w:rsidP="00D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A" w:rsidRDefault="00D466BA" w:rsidP="00D466BA">
    <w:pPr>
      <w:pStyle w:val="Zoznamsodrkami"/>
      <w:numPr>
        <w:ilvl w:val="0"/>
        <w:numId w:val="0"/>
      </w:numPr>
      <w:jc w:val="center"/>
      <w:rPr>
        <w:sz w:val="20"/>
        <w:szCs w:val="20"/>
      </w:rPr>
    </w:pPr>
    <w:r>
      <w:rPr>
        <w:sz w:val="20"/>
        <w:szCs w:val="20"/>
      </w:rPr>
      <w:t>Asociácia lektorov a kariérnych poradcov, Kremnička 534, 974 05  Banská Bystrica</w:t>
    </w:r>
  </w:p>
  <w:p w:rsidR="00D466BA" w:rsidRDefault="00D466BA" w:rsidP="00D466BA">
    <w:pPr>
      <w:pStyle w:val="Zoznamsodrkami"/>
      <w:numPr>
        <w:ilvl w:val="0"/>
        <w:numId w:val="0"/>
      </w:numPr>
      <w:jc w:val="center"/>
      <w:rPr>
        <w:sz w:val="20"/>
        <w:szCs w:val="20"/>
      </w:rPr>
    </w:pPr>
    <w:r>
      <w:rPr>
        <w:sz w:val="20"/>
        <w:szCs w:val="20"/>
      </w:rPr>
      <w:t>IČO: 42 303 478, DIČ: 2023641653, OZ registrované  Ministerstvom vnútra pod č. VVS/1-900/90-40223</w:t>
    </w:r>
  </w:p>
  <w:p w:rsidR="00D466BA" w:rsidRDefault="00D466BA" w:rsidP="00D466BA">
    <w:pPr>
      <w:pStyle w:val="Zoznamsodrkami"/>
      <w:numPr>
        <w:ilvl w:val="0"/>
        <w:numId w:val="0"/>
      </w:numPr>
      <w:jc w:val="center"/>
      <w:rPr>
        <w:sz w:val="20"/>
        <w:szCs w:val="20"/>
        <w:lang w:val="en-US"/>
      </w:rPr>
    </w:pP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0919 185 148, e-mail: </w:t>
    </w:r>
    <w:hyperlink r:id="rId1" w:history="1">
      <w:r w:rsidRPr="0078357C">
        <w:rPr>
          <w:rStyle w:val="Hypertextovprepojenie"/>
          <w:sz w:val="20"/>
          <w:szCs w:val="20"/>
          <w:lang w:val="en-US"/>
        </w:rPr>
        <w:t>alkp@alkp.sk</w:t>
      </w:r>
    </w:hyperlink>
    <w:r>
      <w:rPr>
        <w:sz w:val="20"/>
        <w:szCs w:val="20"/>
        <w:lang w:val="en-US"/>
      </w:rPr>
      <w:t>, web :</w:t>
    </w:r>
    <w:hyperlink r:id="rId2" w:history="1">
      <w:r w:rsidRPr="0078357C">
        <w:rPr>
          <w:rStyle w:val="Hypertextovprepojenie"/>
          <w:sz w:val="20"/>
          <w:szCs w:val="20"/>
          <w:lang w:val="en-US"/>
        </w:rPr>
        <w:t>www.alkp.sk</w:t>
      </w:r>
    </w:hyperlink>
  </w:p>
  <w:p w:rsidR="00D466BA" w:rsidRDefault="00D466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C0" w:rsidRDefault="002E5EC0" w:rsidP="00D466BA">
      <w:pPr>
        <w:spacing w:after="0" w:line="240" w:lineRule="auto"/>
      </w:pPr>
      <w:r>
        <w:separator/>
      </w:r>
    </w:p>
  </w:footnote>
  <w:footnote w:type="continuationSeparator" w:id="0">
    <w:p w:rsidR="002E5EC0" w:rsidRDefault="002E5EC0" w:rsidP="00D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BA" w:rsidRDefault="00D466BA">
    <w:pPr>
      <w:pStyle w:val="Hlavika"/>
    </w:pPr>
    <w:r w:rsidRPr="00D466BA">
      <w:drawing>
        <wp:inline distT="0" distB="0" distL="0" distR="0">
          <wp:extent cx="1428750" cy="495300"/>
          <wp:effectExtent l="19050" t="0" r="0" b="0"/>
          <wp:docPr id="5" name="Obrázo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4AED2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F059CE"/>
    <w:multiLevelType w:val="multilevel"/>
    <w:tmpl w:val="EC9E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F1239"/>
    <w:multiLevelType w:val="multilevel"/>
    <w:tmpl w:val="6F10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126C"/>
    <w:multiLevelType w:val="hybridMultilevel"/>
    <w:tmpl w:val="EA0ED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244B"/>
    <w:multiLevelType w:val="hybridMultilevel"/>
    <w:tmpl w:val="D25A7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90EA5"/>
    <w:multiLevelType w:val="multilevel"/>
    <w:tmpl w:val="2A6E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C0634"/>
    <w:multiLevelType w:val="multilevel"/>
    <w:tmpl w:val="434C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F72C8"/>
    <w:multiLevelType w:val="multilevel"/>
    <w:tmpl w:val="8CCC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83EC8"/>
    <w:multiLevelType w:val="multilevel"/>
    <w:tmpl w:val="6F3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55D21"/>
    <w:multiLevelType w:val="hybridMultilevel"/>
    <w:tmpl w:val="FBF0DBCA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71C85EC6"/>
    <w:multiLevelType w:val="multilevel"/>
    <w:tmpl w:val="1D58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82774"/>
    <w:multiLevelType w:val="multilevel"/>
    <w:tmpl w:val="B124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F34"/>
    <w:rsid w:val="00036A80"/>
    <w:rsid w:val="00055F78"/>
    <w:rsid w:val="0021127B"/>
    <w:rsid w:val="00240DC8"/>
    <w:rsid w:val="002E5EC0"/>
    <w:rsid w:val="0033414C"/>
    <w:rsid w:val="003B1006"/>
    <w:rsid w:val="003B12FE"/>
    <w:rsid w:val="003B4310"/>
    <w:rsid w:val="00402302"/>
    <w:rsid w:val="004A2C41"/>
    <w:rsid w:val="00593F34"/>
    <w:rsid w:val="005B6C80"/>
    <w:rsid w:val="007128AB"/>
    <w:rsid w:val="00726E3C"/>
    <w:rsid w:val="007E6586"/>
    <w:rsid w:val="00836CC9"/>
    <w:rsid w:val="00957F29"/>
    <w:rsid w:val="00981363"/>
    <w:rsid w:val="00A20CC8"/>
    <w:rsid w:val="00A562AB"/>
    <w:rsid w:val="00B0567D"/>
    <w:rsid w:val="00C1177A"/>
    <w:rsid w:val="00D466BA"/>
    <w:rsid w:val="00D90884"/>
    <w:rsid w:val="00D93772"/>
    <w:rsid w:val="00D93A30"/>
    <w:rsid w:val="00DB76DB"/>
    <w:rsid w:val="00E80332"/>
    <w:rsid w:val="00F01035"/>
    <w:rsid w:val="00F42ABD"/>
    <w:rsid w:val="00F7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5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9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3F34"/>
  </w:style>
  <w:style w:type="character" w:styleId="Siln">
    <w:name w:val="Strong"/>
    <w:basedOn w:val="Predvolenpsmoodseku"/>
    <w:uiPriority w:val="22"/>
    <w:qFormat/>
    <w:rsid w:val="00593F34"/>
    <w:rPr>
      <w:b/>
      <w:bCs/>
    </w:rPr>
  </w:style>
  <w:style w:type="character" w:styleId="Hypertextovprepojenie">
    <w:name w:val="Hyperlink"/>
    <w:basedOn w:val="Predvolenpsmoodseku"/>
    <w:unhideWhenUsed/>
    <w:rsid w:val="00593F34"/>
    <w:rPr>
      <w:color w:val="0000FF"/>
      <w:u w:val="single"/>
    </w:rPr>
  </w:style>
  <w:style w:type="character" w:customStyle="1" w:styleId="element-invisible">
    <w:name w:val="element-invisible"/>
    <w:basedOn w:val="Predvolenpsmoodseku"/>
    <w:rsid w:val="00593F34"/>
  </w:style>
  <w:style w:type="paragraph" w:styleId="Odsekzoznamu">
    <w:name w:val="List Paragraph"/>
    <w:basedOn w:val="Normlny"/>
    <w:uiPriority w:val="34"/>
    <w:qFormat/>
    <w:rsid w:val="00B0567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0567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2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66BA"/>
  </w:style>
  <w:style w:type="paragraph" w:styleId="Pta">
    <w:name w:val="footer"/>
    <w:basedOn w:val="Normlny"/>
    <w:link w:val="PtaChar"/>
    <w:uiPriority w:val="99"/>
    <w:semiHidden/>
    <w:unhideWhenUsed/>
    <w:rsid w:val="00D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66BA"/>
  </w:style>
  <w:style w:type="paragraph" w:styleId="Zoznamsodrkami">
    <w:name w:val="List Bullet"/>
    <w:basedOn w:val="Normlny"/>
    <w:unhideWhenUsed/>
    <w:rsid w:val="00D466BA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p.sk/kalendar-celorocny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kp.sk/kalendar-celorocny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kp.sk" TargetMode="External"/><Relationship Id="rId1" Type="http://schemas.openxmlformats.org/officeDocument/2006/relationships/hyperlink" Target="mailto:alkp@alk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6</cp:revision>
  <dcterms:created xsi:type="dcterms:W3CDTF">2017-02-28T23:08:00Z</dcterms:created>
  <dcterms:modified xsi:type="dcterms:W3CDTF">2017-03-01T01:16:00Z</dcterms:modified>
</cp:coreProperties>
</file>